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4610A">
      <w:pPr>
        <w:framePr w:wrap="auto" w:vAnchor="margin" w:hAnchor="text" w:yAlign="inline"/>
        <w:spacing w:after="0"/>
        <w:jc w:val="center"/>
        <w:rPr>
          <w:rFonts w:ascii="Times New Roman" w:hAnsi="Times New Roman" w:eastAsia="Times New Roman" w:cs="Times New Roman"/>
          <w:b/>
          <w:bCs/>
          <w:outline w:val="0"/>
          <w:color w:val="222222"/>
          <w:sz w:val="20"/>
          <w:szCs w:val="20"/>
          <w:u w:color="222222"/>
        </w:rPr>
      </w:pPr>
      <w:r>
        <w:rPr>
          <w:rFonts w:ascii="Times New Roman" w:hAnsi="Times New Roman"/>
          <w:b/>
          <w:bCs/>
          <w:outline w:val="0"/>
          <w:color w:val="222222"/>
          <w:sz w:val="20"/>
          <w:szCs w:val="20"/>
          <w:u w:color="222222"/>
          <w:rtl w:val="0"/>
          <w:lang w:val="it-IT"/>
        </w:rPr>
        <w:t xml:space="preserve">Griglia di valutazione della prova scritta di Matematica </w:t>
      </w:r>
    </w:p>
    <w:p w14:paraId="52E4287A">
      <w:pPr>
        <w:framePr w:wrap="auto" w:vAnchor="margin" w:hAnchor="text" w:yAlign="inline"/>
        <w:spacing w:after="0"/>
        <w:jc w:val="center"/>
        <w:rPr>
          <w:rFonts w:ascii="Times New Roman" w:hAnsi="Times New Roman" w:eastAsia="Times New Roman" w:cs="Times New Roman"/>
          <w:b/>
          <w:bCs/>
          <w:outline w:val="0"/>
          <w:color w:val="222222"/>
          <w:sz w:val="20"/>
          <w:szCs w:val="20"/>
          <w:u w:color="222222"/>
        </w:rPr>
      </w:pPr>
    </w:p>
    <w:p w14:paraId="268CD99C">
      <w:pPr>
        <w:framePr w:wrap="auto" w:vAnchor="margin" w:hAnchor="text" w:yAlign="inline"/>
        <w:spacing w:after="0"/>
        <w:rPr>
          <w:rFonts w:ascii="Times New Roman" w:hAnsi="Times New Roman" w:eastAsia="Times New Roman" w:cs="Times New Roman"/>
          <w:b/>
          <w:bCs/>
          <w:outline w:val="0"/>
          <w:color w:val="222222"/>
          <w:sz w:val="20"/>
          <w:szCs w:val="20"/>
          <w:u w:color="222222"/>
        </w:rPr>
      </w:pPr>
      <w:r>
        <w:rPr>
          <w:rFonts w:ascii="Times New Roman" w:hAnsi="Times New Roman"/>
          <w:caps/>
          <w:spacing w:val="-6"/>
          <w:sz w:val="18"/>
          <w:szCs w:val="18"/>
          <w:rtl w:val="0"/>
          <w:lang w:val="it-IT"/>
        </w:rPr>
        <w:t xml:space="preserve">                      Studente: _______________________________________________ Classe: _______________     Data:___________________      </w:t>
      </w:r>
    </w:p>
    <w:tbl>
      <w:tblPr>
        <w:tblStyle w:val="4"/>
        <w:tblW w:w="9859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398"/>
        <w:gridCol w:w="4314"/>
        <w:gridCol w:w="1404"/>
        <w:gridCol w:w="743"/>
      </w:tblGrid>
      <w:tr w14:paraId="34024AC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11E6A79">
            <w:pPr>
              <w:framePr w:wrap="auto" w:vAnchor="margin" w:hAnchor="text" w:yAlign="inline"/>
              <w:spacing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Indicatori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8F45054">
            <w:pPr>
              <w:framePr w:wrap="auto" w:vAnchor="margin" w:hAnchor="text" w:yAlign="inline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Descrittori</w:t>
            </w: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5B9BD5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6C7E5FE">
            <w:pPr>
              <w:framePr w:wrap="auto" w:vAnchor="margin" w:hAnchor="text" w:yAlign="inline"/>
              <w:spacing w:after="0" w:line="240" w:lineRule="auto"/>
              <w:rPr>
                <w:rtl w:val="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Punteggio</w:t>
            </w:r>
            <w:r>
              <w:rPr>
                <w:rFonts w:ascii="Times New Roman" w:hAnsi="Times New Roman"/>
                <w:b/>
                <w:bCs/>
                <w:outline w:val="0"/>
                <w:color w:val="000000"/>
                <w:sz w:val="20"/>
                <w:szCs w:val="20"/>
                <w:u w:color="000000"/>
                <w:shd w:val="clear" w:color="auto" w:fill="auto"/>
                <w:rtl w:val="0"/>
                <w:lang w:val="it-IT"/>
              </w:rPr>
              <w:t xml:space="preserve"> (totale </w:t>
            </w:r>
            <w:r>
              <w:rPr>
                <w:rFonts w:hint="default" w:ascii="Times New Roman" w:hAnsi="Times New Roman"/>
                <w:b/>
                <w:bCs/>
                <w:outline w:val="0"/>
                <w:color w:val="000000"/>
                <w:sz w:val="20"/>
                <w:szCs w:val="20"/>
                <w:u w:color="000000"/>
                <w:shd w:val="clear" w:color="auto" w:fill="auto"/>
                <w:rtl w:val="0"/>
                <w:lang w:val="it-IT"/>
              </w:rPr>
              <w:t>1</w:t>
            </w:r>
            <w:r>
              <w:rPr>
                <w:rFonts w:ascii="Times New Roman" w:hAnsi="Times New Roman"/>
                <w:b/>
                <w:bCs/>
                <w:outline w:val="0"/>
                <w:color w:val="000000"/>
                <w:sz w:val="20"/>
                <w:szCs w:val="20"/>
                <w:u w:color="000000"/>
                <w:shd w:val="clear" w:color="auto" w:fill="auto"/>
                <w:rtl w:val="0"/>
                <w:lang w:val="it-IT"/>
              </w:rPr>
              <w:t>0)</w:t>
            </w:r>
          </w:p>
        </w:tc>
      </w:tr>
      <w:tr w14:paraId="093462E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D232AFC">
            <w:pPr>
              <w:pStyle w:val="8"/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hd w:val="clear" w:color="auto" w:fill="auto"/>
                <w:rtl w:val="0"/>
                <w:lang w:val="it-IT"/>
              </w:rPr>
              <w:t>Comprendere</w:t>
            </w:r>
          </w:p>
          <w:p w14:paraId="68040AB9">
            <w:pPr>
              <w:framePr w:wrap="auto" w:vAnchor="margin" w:hAnchor="text" w:yAlign="inline"/>
              <w:bidi w:val="0"/>
              <w:spacing w:after="0" w:line="254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it-IT"/>
              </w:rPr>
              <w:t>Analizzare la situazione problematica. Identificare i dati ed interpretarli. Effettuare gli eventuali collegamenti e adoperare i codici grafico-simbolici necessari.</w:t>
            </w: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2710F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Lo studente analizza in modo:</w:t>
            </w:r>
          </w:p>
          <w:p w14:paraId="4C0FE4FA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A1F47FE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Superficiale o frammentario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6FCD02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A60F71C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B19DCDB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0.50</w:t>
            </w:r>
          </w:p>
        </w:tc>
        <w:tc>
          <w:tcPr>
            <w:tcW w:w="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69A9E5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E25C9F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9EAAC55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A9640D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DF4F241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B970F6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449EE44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EFCB3C2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565B64B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9839F05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……</w:t>
            </w: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.</w:t>
            </w:r>
          </w:p>
        </w:tc>
      </w:tr>
      <w:tr w14:paraId="5F09D3C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80BD95D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963DD">
            <w:pPr>
              <w:framePr w:wrap="auto" w:vAnchor="margin" w:hAnchor="text" w:yAlign="inline"/>
              <w:spacing w:after="0" w:line="240" w:lineRule="atLeast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Parziale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56F4479">
            <w:pPr>
              <w:framePr w:wrap="auto" w:vAnchor="margin" w:hAnchor="text" w:yAlign="inline"/>
              <w:spacing w:after="0" w:line="240" w:lineRule="auto"/>
              <w:jc w:val="center"/>
              <w:rPr>
                <w:rFonts w:hint="default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0.5-1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2DB54E"/>
        </w:tc>
      </w:tr>
      <w:tr w14:paraId="5439F57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5CFA56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AD61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F67FA4F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Adeguato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B0D4E08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BB79ACA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1-1,5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0BCE9"/>
        </w:tc>
      </w:tr>
      <w:tr w14:paraId="300139F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C1C183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6F164">
            <w:pPr>
              <w:framePr w:wrap="auto" w:vAnchor="margin" w:hAnchor="text" w:yAlign="inline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completo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F607747">
            <w:pPr>
              <w:framePr w:wrap="auto" w:vAnchor="margin" w:hAnchor="text" w:yAlign="inline"/>
              <w:spacing w:after="0" w:line="240" w:lineRule="auto"/>
              <w:jc w:val="center"/>
              <w:rPr>
                <w:rFonts w:hint="default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1,5-2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0CDCE52"/>
        </w:tc>
      </w:tr>
      <w:tr w14:paraId="0B6213A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FCBC0ED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73122">
            <w:pPr>
              <w:framePr w:wrap="auto" w:vAnchor="margin" w:hAnchor="text" w:yAlign="inline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Approfondito e completo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FA1F0D7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CE196D1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2-2,5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D1F2433"/>
        </w:tc>
      </w:tr>
      <w:tr w14:paraId="5DC364C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1A21C8">
            <w:pPr>
              <w:pStyle w:val="8"/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hd w:val="clear" w:color="auto" w:fill="auto"/>
                <w:rtl w:val="0"/>
                <w:lang w:val="it-IT"/>
              </w:rPr>
              <w:t>Individuare</w:t>
            </w:r>
          </w:p>
          <w:p w14:paraId="2F01CD62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it-IT"/>
              </w:rPr>
              <w:t>Conoscere i concetti matematici utili alla soluzione. Analizzare possibili strategie risolutive ed individuare la strategia pi</w:t>
            </w:r>
            <w:r>
              <w:rPr>
                <w:rFonts w:hint="default" w:ascii="Times New Roman" w:hAnsi="Times New Roman"/>
                <w:sz w:val="24"/>
                <w:szCs w:val="24"/>
                <w:shd w:val="clear" w:color="auto" w:fill="auto"/>
                <w:rtl w:val="0"/>
                <w:lang w:val="it-IT"/>
              </w:rPr>
              <w:t xml:space="preserve">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it-IT"/>
              </w:rPr>
              <w:t>adatta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auto"/>
                <w:rtl w:val="0"/>
                <w:lang w:val="it-IT"/>
              </w:rPr>
              <w:t>.</w:t>
            </w:r>
            <w:r>
              <w:rPr>
                <w:rFonts w:ascii="Calibri" w:hAnsi="Calibri"/>
                <w:b/>
                <w:bCs/>
                <w:sz w:val="22"/>
                <w:szCs w:val="22"/>
                <w:shd w:val="clear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DE672A8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Lo studente individua ed utilizza le strategie risolutive in modo</w:t>
            </w: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:</w:t>
            </w:r>
          </w:p>
          <w:p w14:paraId="664BA730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CAE61A7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Approssimato e confuso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F06108C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72240DB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8C447BA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  <w:t>0,5-1</w:t>
            </w:r>
          </w:p>
        </w:tc>
        <w:tc>
          <w:tcPr>
            <w:tcW w:w="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6CA084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715A020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79D49F2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5D948D5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7683DA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3D30016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367CA39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F046400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F703E20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998A3E6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1E0B0FE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……</w:t>
            </w: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.</w:t>
            </w:r>
          </w:p>
        </w:tc>
      </w:tr>
      <w:tr w14:paraId="131B4DF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9A5D66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C8D82C2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FC79494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Incompleto con qualche imprecisione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1EBF5D8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CB51259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1-1,5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8A31133"/>
        </w:tc>
      </w:tr>
      <w:tr w14:paraId="5ECF199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A6314B6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5CA868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671B710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Adeguato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640FE74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940958E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1,5-2,5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89273C"/>
        </w:tc>
      </w:tr>
      <w:tr w14:paraId="576D05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0CAFAC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BFEC256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C4F5CF6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Completo ed efficace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1D0BA2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0F57E10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2,5-3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38DD72"/>
        </w:tc>
      </w:tr>
      <w:tr w14:paraId="366E37D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B7985D7">
            <w:pPr>
              <w:pStyle w:val="8"/>
              <w:framePr w:wrap="auto" w:vAnchor="margin" w:hAnchor="text" w:yAlign="inline"/>
              <w:jc w:val="center"/>
              <w:rPr>
                <w:rFonts w:ascii="Times New Roman" w:hAnsi="Times New Roman" w:eastAsia="Times New Roman" w:cs="Times New Roman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hd w:val="clear" w:color="auto" w:fill="auto"/>
                <w:rtl w:val="0"/>
                <w:lang w:val="it-IT"/>
              </w:rPr>
              <w:t>Sviluppare il processo risolutivo</w:t>
            </w:r>
          </w:p>
          <w:p w14:paraId="5C97B2C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auto"/>
                <w:lang w:val="it-IT"/>
              </w:rPr>
            </w:pPr>
          </w:p>
          <w:p w14:paraId="4D19424A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auto"/>
                <w:rtl w:val="0"/>
                <w:lang w:val="it-IT"/>
              </w:rPr>
              <w:t>Risolvere la situazione problematica in maniera coerente, completa e corretta, applicando le regole ed eseguendo i calcoli necessari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auto"/>
                <w:rtl w:val="0"/>
                <w:lang w:val="it-IT"/>
              </w:rPr>
              <w:t>.</w:t>
            </w:r>
            <w:r>
              <w:rPr>
                <w:rFonts w:ascii="Calibri" w:hAnsi="Calibri"/>
                <w:b w:val="0"/>
                <w:bCs w:val="0"/>
                <w:sz w:val="22"/>
                <w:szCs w:val="22"/>
                <w:shd w:val="clear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2282D2F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Lo studente sviluppa il processo risolutivo in modo:</w:t>
            </w:r>
          </w:p>
          <w:p w14:paraId="39095295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A08DA74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Sommario o frammentario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B70524D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E118A09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F4807ED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F0D4DF0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0,5</w:t>
            </w:r>
          </w:p>
        </w:tc>
        <w:tc>
          <w:tcPr>
            <w:tcW w:w="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8D7AEB2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8457237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136EC15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B34C149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67CD99B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A1B72D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92C879B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F3C409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DA5E0A8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FC816EE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A651611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C78AEC6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465AB42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1F03EBF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……</w:t>
            </w:r>
          </w:p>
        </w:tc>
      </w:tr>
      <w:tr w14:paraId="32D6978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E43CEB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D053E1E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auto"/>
                <w:lang w:val="it-IT"/>
              </w:rPr>
            </w:pPr>
          </w:p>
          <w:p w14:paraId="16209373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auto"/>
                <w:rtl w:val="0"/>
                <w:lang w:val="it-IT"/>
              </w:rPr>
              <w:t>Approssimato e impreciso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9A09F76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4BB46A8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0,5-1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303C86"/>
        </w:tc>
      </w:tr>
      <w:tr w14:paraId="586C7CB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564A69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D50A71B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A50228A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Parzialmente Corretto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28080BE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C897AB3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1-1,5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2B23343"/>
        </w:tc>
      </w:tr>
      <w:tr w14:paraId="5596D2F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E345466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091D464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2E6D653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Corretto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67AF3D6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B57BEF8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1,5-2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5C486"/>
        </w:tc>
      </w:tr>
      <w:tr w14:paraId="59DB12C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79F0BC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65F5062E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1100FE5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Appropriato e preciso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E7F847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60EBA46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2-2,5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6B7850"/>
        </w:tc>
      </w:tr>
      <w:tr w14:paraId="2CCB0C8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081475B">
            <w:pPr>
              <w:framePr w:wrap="auto" w:vAnchor="margin" w:hAnchor="text" w:yAlign="inline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auto"/>
                <w:rtl w:val="0"/>
                <w:lang w:val="it-IT"/>
              </w:rPr>
              <w:t xml:space="preserve">                      </w:t>
            </w:r>
          </w:p>
          <w:p w14:paraId="0DD6DA6F">
            <w:pPr>
              <w:pStyle w:val="8"/>
              <w:framePr w:wrap="auto" w:vAnchor="margin" w:hAnchor="text" w:yAlign="inline"/>
              <w:bidi w:val="0"/>
              <w:ind w:left="0" w:right="0" w:firstLine="0"/>
              <w:jc w:val="center"/>
              <w:rPr>
                <w:rFonts w:ascii="Times New Roman" w:hAnsi="Times New Roman" w:eastAsia="Times New Roman" w:cs="Times New Roman"/>
                <w:shd w:val="clear" w:color="auto" w:fill="auto"/>
                <w:rtl w:val="0"/>
              </w:rPr>
            </w:pPr>
            <w:r>
              <w:rPr>
                <w:rFonts w:ascii="Times New Roman" w:hAnsi="Times New Roman"/>
                <w:b/>
                <w:bCs/>
                <w:shd w:val="clear" w:color="auto" w:fill="auto"/>
                <w:rtl w:val="0"/>
                <w:lang w:val="it-IT"/>
              </w:rPr>
              <w:t>Argomentare</w:t>
            </w:r>
          </w:p>
          <w:p w14:paraId="527B166F">
            <w:pPr>
              <w:pStyle w:val="8"/>
              <w:framePr w:wrap="auto" w:vAnchor="margin" w:hAnchor="text" w:yAlign="inline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/>
                <w:shd w:val="clear" w:color="auto" w:fill="auto"/>
                <w:rtl w:val="0"/>
                <w:lang w:val="it-IT"/>
              </w:rPr>
              <w:t xml:space="preserve">Commentare e giustificare opportunamente la scelta della strategia risolutiva, i passaggi fondamentali del processo esecutivo e la coerenza dei risultati al contesto del problema. 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F4E6A1E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Lo studente  argomenta in modo:</w:t>
            </w:r>
          </w:p>
          <w:p w14:paraId="24C75229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DE32D07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Ridotto e confuso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E204BED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375D778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4A835D27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0,5</w:t>
            </w:r>
          </w:p>
        </w:tc>
        <w:tc>
          <w:tcPr>
            <w:tcW w:w="7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056F2BA4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359B478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2B84808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156DD59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0C764F5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D457FA7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DA4C3A1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B8A01FD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9C25311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hint="default"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 xml:space="preserve">……    </w:t>
            </w:r>
          </w:p>
        </w:tc>
      </w:tr>
      <w:tr w14:paraId="71B5C2A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1AF3FD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A0046AC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73C022E5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Parziale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E1DE4C2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1687114A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0,5-1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581AA9"/>
        </w:tc>
      </w:tr>
      <w:tr w14:paraId="56D34D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C950F6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75829F57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8BAC24C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Adeguato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48C27D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6D4F913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1-1,5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4052E3"/>
        </w:tc>
      </w:tr>
      <w:tr w14:paraId="667E87B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33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063FA3F"/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3EE94C2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3422D39E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Completo e formalmente preciso.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162558E0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69FE587E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Fonts w:hint="default"/>
                <w:rtl w:val="0"/>
                <w:lang w:val="it-IT"/>
              </w:rPr>
            </w:pPr>
            <w:r>
              <w:rPr>
                <w:rFonts w:hint="default"/>
                <w:rtl w:val="0"/>
                <w:lang w:val="it-IT"/>
              </w:rPr>
              <w:t>1,5-2</w:t>
            </w:r>
          </w:p>
        </w:tc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B79E1D"/>
        </w:tc>
      </w:tr>
      <w:tr w14:paraId="1B7809B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77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30E50CC3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shd w:val="clear" w:color="auto" w:fill="auto"/>
                <w:rtl w:val="0"/>
                <w:lang w:val="it-IT"/>
              </w:rPr>
              <w:t xml:space="preserve">                                                                                                                                             </w:t>
            </w:r>
          </w:p>
          <w:p w14:paraId="394B1CE2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shd w:val="clear" w:color="auto" w:fill="auto"/>
                <w:rtl w:val="0"/>
                <w:lang w:val="it-IT"/>
              </w:rPr>
              <w:t xml:space="preserve">  VOTO =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Punteggio</w:t>
            </w:r>
          </w:p>
        </w:tc>
        <w:tc>
          <w:tcPr>
            <w:tcW w:w="2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4ECE9C82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5CBE6B37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/10</w:t>
            </w:r>
          </w:p>
        </w:tc>
      </w:tr>
    </w:tbl>
    <w:p w14:paraId="0DEBE9AB">
      <w:pPr>
        <w:framePr w:wrap="auto" w:vAnchor="margin" w:hAnchor="text" w:yAlign="inline"/>
        <w:spacing w:line="240" w:lineRule="auto"/>
      </w:pPr>
    </w:p>
    <w:p w14:paraId="3E45E511">
      <w:pPr>
        <w:pStyle w:val="2"/>
        <w:framePr w:wrap="auto" w:vAnchor="margin" w:hAnchor="text" w:yAlign="inline"/>
      </w:pPr>
      <w:r>
        <w:t>Griglia di valutazione prova scritta di Matematica – studenti DSA</w:t>
      </w:r>
    </w:p>
    <w:p w14:paraId="5CBBD164">
      <w:pPr>
        <w:framePr w:wrap="auto" w:vAnchor="margin" w:hAnchor="text" w:yAlign="inline"/>
      </w:pPr>
    </w:p>
    <w:p w14:paraId="1A718E53">
      <w:r>
        <w:t>Studente: __________________________________________  Classe: _________  Data: ___________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1080"/>
        <w:gridCol w:w="1080"/>
      </w:tblGrid>
      <w:tr w14:paraId="1DCD6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16DD521">
            <w:r>
              <w:t>Indicatore</w:t>
            </w:r>
          </w:p>
        </w:tc>
        <w:tc>
          <w:tcPr>
            <w:tcW w:w="2160" w:type="dxa"/>
          </w:tcPr>
          <w:p w14:paraId="3D9617B3">
            <w:r>
              <w:t>Descrittore</w:t>
            </w:r>
          </w:p>
        </w:tc>
        <w:tc>
          <w:tcPr>
            <w:tcW w:w="2160" w:type="dxa"/>
          </w:tcPr>
          <w:p w14:paraId="4217F728">
            <w:r>
              <w:t>Livelli di valutazione</w:t>
            </w:r>
          </w:p>
        </w:tc>
        <w:tc>
          <w:tcPr>
            <w:tcW w:w="2160" w:type="dxa"/>
            <w:gridSpan w:val="2"/>
          </w:tcPr>
          <w:p w14:paraId="2C719E29">
            <w:r>
              <w:t>Punteggio</w:t>
            </w:r>
          </w:p>
        </w:tc>
      </w:tr>
      <w:tr w14:paraId="6C090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B4AF5B8">
            <w:r>
              <w:t>Comprendere il problema</w:t>
            </w:r>
          </w:p>
        </w:tc>
        <w:tc>
          <w:tcPr>
            <w:tcW w:w="2160" w:type="dxa"/>
          </w:tcPr>
          <w:p w14:paraId="35C171A8">
            <w:r>
              <w:t>Identificare i dati essenziali e interpretarli, anche con l’uso di schemi, mappe o supporti compensativi.</w:t>
            </w:r>
          </w:p>
        </w:tc>
        <w:tc>
          <w:tcPr>
            <w:tcW w:w="2160" w:type="dxa"/>
          </w:tcPr>
          <w:p w14:paraId="042E669F">
            <w:r>
              <w:rPr>
                <w:rFonts w:hint="default"/>
                <w:lang w:val="it-IT"/>
              </w:rPr>
              <w:t>-</w:t>
            </w:r>
            <w:r>
              <w:t xml:space="preserve">Parziale, con necessità di guida </w:t>
            </w:r>
          </w:p>
          <w:p w14:paraId="37BB3955">
            <w:r>
              <w:rPr>
                <w:rFonts w:hint="default"/>
                <w:lang w:val="it-IT"/>
              </w:rPr>
              <w:t>-</w:t>
            </w:r>
            <w:r>
              <w:t xml:space="preserve">Adeguata, con qualche imprecisione </w:t>
            </w:r>
          </w:p>
          <w:p w14:paraId="5931FD64">
            <w:r>
              <w:rPr>
                <w:rFonts w:hint="default"/>
                <w:lang w:val="it-IT"/>
              </w:rPr>
              <w:t>-</w:t>
            </w:r>
            <w:r>
              <w:t>Completa e corretta</w:t>
            </w:r>
          </w:p>
        </w:tc>
        <w:tc>
          <w:tcPr>
            <w:tcW w:w="1080" w:type="dxa"/>
          </w:tcPr>
          <w:p w14:paraId="6DD2CA7B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0,5</w:t>
            </w:r>
          </w:p>
          <w:p w14:paraId="4A539A1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6CC65B75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</w:t>
            </w:r>
          </w:p>
          <w:p w14:paraId="4F0A181B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2</w:t>
            </w:r>
          </w:p>
          <w:p w14:paraId="480300BC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</w:tc>
        <w:tc>
          <w:tcPr>
            <w:tcW w:w="1080" w:type="dxa"/>
          </w:tcPr>
          <w:p w14:paraId="72372B75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2E1A3DDB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1266BDE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0D276F39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.........</w:t>
            </w:r>
          </w:p>
        </w:tc>
      </w:tr>
      <w:tr w14:paraId="3B5F6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B0CDA34">
            <w:r>
              <w:t>Individuare la strategia</w:t>
            </w:r>
          </w:p>
        </w:tc>
        <w:tc>
          <w:tcPr>
            <w:tcW w:w="2160" w:type="dxa"/>
          </w:tcPr>
          <w:p w14:paraId="271BBDEE">
            <w:r>
              <w:t>Riconoscere i concetti matematici utili e scegliere una strategia risolutiva, anche se non perfettamente formalizzata.</w:t>
            </w:r>
          </w:p>
        </w:tc>
        <w:tc>
          <w:tcPr>
            <w:tcW w:w="2160" w:type="dxa"/>
          </w:tcPr>
          <w:p w14:paraId="4BAA98F2">
            <w:r>
              <w:t xml:space="preserve">Confusa e poco mirata </w:t>
            </w:r>
          </w:p>
          <w:p w14:paraId="20E40C64">
            <w:r>
              <w:t xml:space="preserve">Sufficiente, con passaggi non sempre coerenti </w:t>
            </w:r>
          </w:p>
          <w:p w14:paraId="6E6DBEED">
            <w:r>
              <w:t xml:space="preserve"> Adeguata e funzionale </w:t>
            </w:r>
          </w:p>
          <w:p w14:paraId="6E522069">
            <w:r>
              <w:t>Chiara ed efficace</w:t>
            </w:r>
          </w:p>
        </w:tc>
        <w:tc>
          <w:tcPr>
            <w:tcW w:w="1080" w:type="dxa"/>
          </w:tcPr>
          <w:p w14:paraId="5FB24AE3">
            <w:r>
              <w:t>0,5</w:t>
            </w:r>
          </w:p>
          <w:p w14:paraId="5BF1C4CB"/>
          <w:p w14:paraId="76FC7A28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</w:t>
            </w:r>
          </w:p>
          <w:p w14:paraId="39820C8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4FD4BAF6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2</w:t>
            </w:r>
          </w:p>
          <w:p w14:paraId="419A07F9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441EA4D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3</w:t>
            </w:r>
          </w:p>
        </w:tc>
        <w:tc>
          <w:tcPr>
            <w:tcW w:w="1080" w:type="dxa"/>
          </w:tcPr>
          <w:p w14:paraId="43678453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47B17ABA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383F0670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5B99C965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651676DB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11D98A38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47735BA7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........</w:t>
            </w:r>
          </w:p>
        </w:tc>
      </w:tr>
      <w:tr w14:paraId="7F2E9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C5D633A">
            <w:r>
              <w:t>Sviluppare il processo risolutivo</w:t>
            </w:r>
          </w:p>
        </w:tc>
        <w:tc>
          <w:tcPr>
            <w:tcW w:w="2160" w:type="dxa"/>
          </w:tcPr>
          <w:p w14:paraId="55B49218">
            <w:r>
              <w:t>Applicare la strategia scelta, eseguendo i calcoli con strumenti compensativi se previsti. Gli errori di calcolo non invalidano la valutazione se il procedimento logico è corretto.</w:t>
            </w:r>
          </w:p>
        </w:tc>
        <w:tc>
          <w:tcPr>
            <w:tcW w:w="2160" w:type="dxa"/>
          </w:tcPr>
          <w:p w14:paraId="09B06387">
            <w:r>
              <w:t xml:space="preserve">Incompleto o con passaggi mancanti </w:t>
            </w:r>
          </w:p>
          <w:p w14:paraId="1D72073B">
            <w:r>
              <w:t xml:space="preserve">Parzialmente corretto </w:t>
            </w:r>
          </w:p>
          <w:p w14:paraId="3C983080">
            <w:r>
              <w:t xml:space="preserve"> Coerente e comprensibile </w:t>
            </w:r>
          </w:p>
          <w:p w14:paraId="0B557D76">
            <w:r>
              <w:t>Corretto e ben strutturato</w:t>
            </w:r>
          </w:p>
        </w:tc>
        <w:tc>
          <w:tcPr>
            <w:tcW w:w="1080" w:type="dxa"/>
          </w:tcPr>
          <w:p w14:paraId="69BACA1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</w:t>
            </w:r>
          </w:p>
          <w:p w14:paraId="0CFD5B1B"/>
          <w:p w14:paraId="5768C53B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1,5</w:t>
            </w:r>
          </w:p>
          <w:p w14:paraId="3398BF8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58300DC7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2</w:t>
            </w:r>
          </w:p>
          <w:p w14:paraId="2AF059B6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6024EC22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3</w:t>
            </w:r>
          </w:p>
        </w:tc>
        <w:tc>
          <w:tcPr>
            <w:tcW w:w="1080" w:type="dxa"/>
          </w:tcPr>
          <w:p w14:paraId="169DFEFF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4AB7E544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1BA8D9C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58854268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211BBD20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00C73796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294E3A0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........</w:t>
            </w:r>
          </w:p>
          <w:p w14:paraId="29E43D69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</w:tc>
      </w:tr>
      <w:tr w14:paraId="334BC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D9924D3">
            <w:r>
              <w:t>Argomentare e comunicare</w:t>
            </w:r>
          </w:p>
        </w:tc>
        <w:tc>
          <w:tcPr>
            <w:tcW w:w="2160" w:type="dxa"/>
          </w:tcPr>
          <w:p w14:paraId="5726A0DF">
            <w:r>
              <w:t>Esplicitare, anche in forma sintetica o tramite schemi, la scelta della strategia e la coerenza dei risultati. Non penalizzato un linguaggio matematico non pienamente formale, purché chiaro.</w:t>
            </w:r>
          </w:p>
        </w:tc>
        <w:tc>
          <w:tcPr>
            <w:tcW w:w="2160" w:type="dxa"/>
          </w:tcPr>
          <w:p w14:paraId="2EB565D7">
            <w:r>
              <w:t xml:space="preserve">Limitato o poco chiaro </w:t>
            </w:r>
          </w:p>
          <w:p w14:paraId="7B247E8C">
            <w:r>
              <w:t xml:space="preserve"> Adeguato, con qualche incertezza </w:t>
            </w:r>
          </w:p>
          <w:p w14:paraId="7FF66C44">
            <w:r>
              <w:t>Chiaro e comprensibile</w:t>
            </w:r>
          </w:p>
        </w:tc>
        <w:tc>
          <w:tcPr>
            <w:tcW w:w="1080" w:type="dxa"/>
          </w:tcPr>
          <w:p w14:paraId="2BA4641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</w:t>
            </w:r>
          </w:p>
          <w:p w14:paraId="7C881CC5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2828E36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1,5</w:t>
            </w:r>
          </w:p>
          <w:p w14:paraId="4088652C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6895EF08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2</w:t>
            </w:r>
          </w:p>
        </w:tc>
        <w:tc>
          <w:tcPr>
            <w:tcW w:w="1080" w:type="dxa"/>
          </w:tcPr>
          <w:p w14:paraId="52DD92CD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182A8E68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3491D5AF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30708C32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3F43351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  <w:r>
              <w:rPr>
                <w:rFonts w:hint="default"/>
                <w:lang w:val="it-IT"/>
              </w:rPr>
              <w:t>..........</w:t>
            </w:r>
            <w:bookmarkStart w:id="0" w:name="_GoBack"/>
            <w:bookmarkEnd w:id="0"/>
          </w:p>
          <w:p w14:paraId="78C0BE41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  <w:p w14:paraId="54231EA4">
            <w:pPr>
              <w:framePr w:wrap="auto" w:vAnchor="margin" w:hAnchor="text" w:yAlign="inline"/>
              <w:rPr>
                <w:rFonts w:hint="default"/>
                <w:lang w:val="it-IT"/>
              </w:rPr>
            </w:pPr>
          </w:p>
        </w:tc>
      </w:tr>
      <w:tr w14:paraId="7BABE15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64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27B30875">
            <w:pPr>
              <w:framePr w:wrap="auto" w:vAnchor="margin" w:hAnchor="text" w:yAlign="inline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16"/>
                <w:szCs w:val="16"/>
                <w:shd w:val="clear" w:color="auto" w:fill="auto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shd w:val="clear" w:color="auto" w:fill="auto"/>
                <w:rtl w:val="0"/>
                <w:lang w:val="it-IT"/>
              </w:rPr>
              <w:t xml:space="preserve">                                                                                                                                             </w:t>
            </w:r>
          </w:p>
          <w:p w14:paraId="54A5DDB4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shd w:val="clear" w:color="auto" w:fill="auto"/>
                <w:rtl w:val="0"/>
                <w:lang w:val="it-IT"/>
              </w:rPr>
              <w:t xml:space="preserve">  VOTO = </w:t>
            </w:r>
            <w:r>
              <w:rPr>
                <w:rFonts w:ascii="Times New Roman" w:hAnsi="Times New Roman"/>
                <w:b w:val="0"/>
                <w:bCs w:val="0"/>
                <w:sz w:val="20"/>
                <w:szCs w:val="20"/>
                <w:shd w:val="clear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auto"/>
                <w:rtl w:val="0"/>
                <w:lang w:val="it-IT"/>
              </w:rPr>
              <w:t>Punteggio</w:t>
            </w:r>
          </w:p>
        </w:tc>
        <w:tc>
          <w:tcPr>
            <w:tcW w:w="2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 w14:paraId="542EA53F">
            <w:pPr>
              <w:framePr w:wrap="auto" w:vAnchor="margin" w:hAnchor="text" w:yAlign="inline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shd w:val="clear" w:color="auto" w:fill="auto"/>
                <w:lang w:val="it-IT"/>
              </w:rPr>
            </w:pPr>
          </w:p>
          <w:p w14:paraId="2D4225ED">
            <w:pPr>
              <w:framePr w:wrap="auto" w:vAnchor="margin" w:hAnchor="text" w:yAlign="inline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auto"/>
                <w:rtl w:val="0"/>
                <w:lang w:val="it-IT"/>
              </w:rPr>
              <w:t>/10</w:t>
            </w:r>
          </w:p>
        </w:tc>
      </w:tr>
    </w:tbl>
    <w:p w14:paraId="4526875D">
      <w:pPr>
        <w:framePr w:wrap="auto" w:vAnchor="margin" w:hAnchor="text" w:yAlign="inline"/>
        <w:spacing w:line="240" w:lineRule="auto"/>
      </w:pPr>
    </w:p>
    <w:sectPr>
      <w:headerReference r:id="rId5" w:type="default"/>
      <w:footerReference r:id="rId6" w:type="default"/>
      <w:pgSz w:w="11900" w:h="16840"/>
      <w:pgMar w:top="720" w:right="720" w:bottom="720" w:left="720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50265">
    <w:pPr>
      <w:pStyle w:val="7"/>
      <w:framePr w:wrap="auto" w:vAnchor="margin" w:hAnchor="text" w:yAlign="inline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79948">
    <w:pPr>
      <w:pStyle w:val="7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bordersDoNotSurroundHeader w:val="0"/>
  <w:bordersDoNotSurroundFooter w:val="0"/>
  <w:documentProtection w:enforcement="0"/>
  <w:defaultTabStop w:val="708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31C76E7"/>
    <w:rsid w:val="48FA62C4"/>
    <w:rsid w:val="4C4B37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160" w:afterAutospacing="0" w:line="252" w:lineRule="auto"/>
      <w:ind w:left="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000000"/>
      <w:shd w:val="clear" w:color="auto" w:fill="auto"/>
      <w:vertAlign w:val="baseline"/>
      <w:lang w:val="it-IT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default="1" w:styleId="3">
    <w:name w:val="Default Paragraph Font"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0"/>
    <w:rPr>
      <w:u w:val="single"/>
    </w:rPr>
  </w:style>
  <w:style w:type="table" w:customStyle="1" w:styleId="6">
    <w:name w:val="Table Normal1"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7">
    <w:name w:val="Intestazione e piè di pagina"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Helvetica Neue" w:hAnsi="Helvetica Neue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paragraph" w:customStyle="1" w:styleId="8">
    <w:name w:val="Default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Calibri" w:hAnsi="Calibri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  <w:lang w:val="it-IT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6</TotalTime>
  <ScaleCrop>false</ScaleCrop>
  <LinksUpToDate>false</LinksUpToDate>
  <Application>WPS Office_12.2.0.21936_F1E327BC-269C-435d-A152-05C5408002CA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2025-09-04T08:03:00Z</dcterms:created>
  <dc:creator>sepem</dc:creator>
  <cp:lastModifiedBy>marianna sepe</cp:lastModifiedBy>
  <dcterms:modified xsi:type="dcterms:W3CDTF">2025-09-11T14:58:44Z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1033-12.2.0.21936</vt:lpwstr>
  </property>
  <property fmtid="{D5CDD505-2E9C-101B-9397-08002B2CF9AE}" pid="3" name="ICV">
    <vt:lpwstr>1C9B7E9A09894AE9ACA1D30F40F2B193_13</vt:lpwstr>
  </property>
</Properties>
</file>